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u w:val="single"/>
          <w:rtl w:val="0"/>
        </w:rPr>
        <w:t xml:space="preserve">SMCW Student Participation Report: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u w:val="single"/>
          <w:rtl w:val="0"/>
        </w:rPr>
        <w:t xml:space="preserve">Conference on Artificial Intelligence in Healthcare 3.0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Friday, 10th April 2026 | 9:00 AM - 6:00 PM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AIG Hospitals, Gachibowli, Hyderabad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 group of 6 students: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Aakansha Ringsia (Phase III Part II), with Kushagri, Tisha, Ankita, Anushka, Akanksha (Phase III Part I)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accompanied by the faculty member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Dr. Soorya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represented the institution at the prestigious conference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“Artificial Intelligence in Healthcare 3.0”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organized by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Centre of AI &amp; Innovation (CAII).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conference was chaired by distinguished leaders including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Dr. Devi Shetty, Dr. D. Nageshwar Reddy, and Dr. G. V. Rao,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along with eminent experts from healthcare, technology, governance, and research sectors.</w:t>
      </w:r>
    </w:p>
    <w:p w:rsidR="00000000" w:rsidDel="00000000" w:rsidP="00000000" w:rsidRDefault="00000000" w:rsidRPr="00000000" w14:paraId="0000000A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event featured a comprehensive agenda covering key areas such as:</w:t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AI-augmented clinical practice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Patient-centric care powered by artificial intelligence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Digital transformation of hospitals and intelligent healthcare systems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HealthTech innovation and scalable healthcare ecosystems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Ethical considerations, data privacy, and security in AI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Students attended keynote sessions, panel discussions, and technology exhibitions, gaining valuable insights into emerging trends such as AI-powered diagnostics, automation in hospital workflows, and community healthcare transformation.</w:t>
      </w:r>
    </w:p>
    <w:p w:rsidR="00000000" w:rsidDel="00000000" w:rsidP="00000000" w:rsidRDefault="00000000" w:rsidRPr="00000000" w14:paraId="00000013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conference also included discussions on futuristic concepts like digital twins, AI-driven public health systems, and innovation in healthcare delivery beyond hospital settings.</w:t>
      </w:r>
    </w:p>
    <w:p w:rsidR="00000000" w:rsidDel="00000000" w:rsidP="00000000" w:rsidRDefault="00000000" w:rsidRPr="00000000" w14:paraId="00000015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This participation provided significant academic exposure and reflects the institution’s commitment to fostering innovation, interdisciplinary learning, and awareness of advancements in modern healthcare technologies.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3847065" cy="4738347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7065" cy="4738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3917922" cy="3720546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7922" cy="3720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4617049" cy="3764671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7049" cy="3764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188632" cy="4240509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8632" cy="42405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72009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0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